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81E5F" w14:textId="77777777" w:rsidR="00531CAA" w:rsidRPr="00531CAA" w:rsidRDefault="00531CAA" w:rsidP="00531CAA">
      <w:pPr>
        <w:jc w:val="center"/>
        <w:rPr>
          <w:b/>
          <w:sz w:val="32"/>
          <w:szCs w:val="32"/>
        </w:rPr>
      </w:pPr>
      <w:r w:rsidRPr="00531CAA">
        <w:rPr>
          <w:b/>
          <w:sz w:val="32"/>
          <w:szCs w:val="32"/>
        </w:rPr>
        <w:t>UPUTSTVO ZA PODNOSIOCE PRIJAVE</w:t>
      </w:r>
    </w:p>
    <w:p w14:paraId="2551F22A" w14:textId="77777777" w:rsidR="00531CAA" w:rsidRDefault="00531CAA" w:rsidP="00531CAA"/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A40C84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46A66F12" w14:textId="7D978FA8" w:rsidR="00B71D2F" w:rsidRDefault="00B71D2F" w:rsidP="00876785">
            <w:pPr>
              <w:rPr>
                <w:b/>
                <w:bCs/>
                <w:sz w:val="24"/>
                <w:szCs w:val="24"/>
              </w:rPr>
            </w:pPr>
          </w:p>
          <w:p w14:paraId="1390DDC9" w14:textId="5B1114BF" w:rsidR="00A40C84" w:rsidRPr="00876785" w:rsidRDefault="00876785" w:rsidP="00876785">
            <w:pPr>
              <w:rPr>
                <w:b/>
                <w:bCs/>
                <w:sz w:val="24"/>
                <w:szCs w:val="24"/>
              </w:rPr>
            </w:pPr>
            <w:r w:rsidRPr="00876785">
              <w:rPr>
                <w:rFonts w:ascii="Arial" w:hAnsi="Arial" w:cs="Arial"/>
                <w:b/>
                <w:bCs/>
                <w:color w:val="000000" w:themeColor="text1"/>
                <w:lang w:val="hr-BA"/>
              </w:rPr>
              <w:t xml:space="preserve">Javni poziv za </w:t>
            </w:r>
            <w:r w:rsidRPr="00876785">
              <w:rPr>
                <w:rFonts w:ascii="Arial" w:hAnsi="Arial" w:cs="Arial"/>
                <w:b/>
                <w:color w:val="000000" w:themeColor="text1"/>
                <w:lang w:val="hr-BA"/>
              </w:rPr>
              <w:t>odabir programa i projekata iz oblasti proširenog studentskog standarda, koji će se finansirati/sufinansirati iz Budžeta Federa</w:t>
            </w:r>
            <w:r w:rsidR="008B26D9">
              <w:rPr>
                <w:rFonts w:ascii="Arial" w:hAnsi="Arial" w:cs="Arial"/>
                <w:b/>
                <w:color w:val="000000" w:themeColor="text1"/>
                <w:lang w:val="hr-BA"/>
              </w:rPr>
              <w:t>cije Bosne i Hercegovine za 2025</w:t>
            </w:r>
            <w:r w:rsidRPr="00876785">
              <w:rPr>
                <w:rFonts w:ascii="Arial" w:hAnsi="Arial" w:cs="Arial"/>
                <w:b/>
                <w:color w:val="000000" w:themeColor="text1"/>
                <w:lang w:val="hr-BA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lang w:val="hr-BA"/>
              </w:rPr>
              <w:t>godinu</w:t>
            </w:r>
          </w:p>
        </w:tc>
      </w:tr>
      <w:tr w:rsidR="008A43F2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Default="00122D47" w:rsidP="00531CAA">
            <w:r>
              <w:t>1</w:t>
            </w:r>
          </w:p>
        </w:tc>
        <w:tc>
          <w:tcPr>
            <w:tcW w:w="3202" w:type="dxa"/>
            <w:vAlign w:val="center"/>
          </w:tcPr>
          <w:p w14:paraId="6D35C93F" w14:textId="218CF96F" w:rsidR="008A43F2" w:rsidRPr="00102F11" w:rsidRDefault="008A43F2" w:rsidP="00531CAA">
            <w:pPr>
              <w:rPr>
                <w:b/>
                <w:bCs/>
              </w:rPr>
            </w:pPr>
            <w:r w:rsidRPr="00102F11">
              <w:rPr>
                <w:b/>
                <w:bCs/>
              </w:rPr>
              <w:t>Opis problema u određenoj oblasti koja je predmet finansiranja</w:t>
            </w:r>
          </w:p>
        </w:tc>
        <w:tc>
          <w:tcPr>
            <w:tcW w:w="6390" w:type="dxa"/>
            <w:vAlign w:val="center"/>
          </w:tcPr>
          <w:p w14:paraId="3F6FB18C" w14:textId="4896BBD0" w:rsidR="003A5224" w:rsidRDefault="003A5224" w:rsidP="003A522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  <w:r>
              <w:t>-</w:t>
            </w:r>
            <w:r w:rsidRPr="003A5224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r w:rsidR="005B104E">
              <w:rPr>
                <w:rFonts w:eastAsia="Times New Roman" w:cstheme="minorHAnsi"/>
                <w:lang w:val="hr-BA" w:eastAsia="hr-HR"/>
              </w:rPr>
              <w:t>Podrška</w:t>
            </w:r>
            <w:r w:rsidRPr="003A5224">
              <w:rPr>
                <w:rFonts w:eastAsia="Times New Roman" w:cstheme="minorHAnsi"/>
                <w:lang w:val="hr-BA" w:eastAsia="hr-HR"/>
              </w:rPr>
              <w:t xml:space="preserve"> školovanju Roma, državljana Bosne i Hercegovine, koji imaju prebivalište na području Federacije Bosne i Hercegovine i koji studiraju na  visokoškolskim ustanovama u Bosni</w:t>
            </w:r>
            <w:r>
              <w:rPr>
                <w:rFonts w:eastAsia="Times New Roman" w:cstheme="minorHAnsi"/>
                <w:lang w:val="hr-BA" w:eastAsia="hr-HR"/>
              </w:rPr>
              <w:t xml:space="preserve"> i Hercegovini</w:t>
            </w:r>
          </w:p>
          <w:p w14:paraId="441D6F26" w14:textId="5ECB4F5B" w:rsidR="003A5224" w:rsidRPr="003A5224" w:rsidRDefault="003A5224" w:rsidP="003A522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  <w:r>
              <w:rPr>
                <w:rFonts w:eastAsia="Times New Roman" w:cstheme="minorHAnsi"/>
                <w:lang w:val="hr-BA" w:eastAsia="hr-HR"/>
              </w:rPr>
              <w:t>-</w:t>
            </w:r>
            <w:r w:rsidRPr="003A5224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r w:rsidR="005B104E">
              <w:rPr>
                <w:rFonts w:eastAsia="Times New Roman" w:cstheme="minorHAnsi"/>
                <w:lang w:val="hr-BA" w:eastAsia="hr-HR"/>
              </w:rPr>
              <w:t>Podrška</w:t>
            </w:r>
            <w:r w:rsidRPr="003A5224">
              <w:rPr>
                <w:rFonts w:eastAsia="Times New Roman" w:cstheme="minorHAnsi"/>
                <w:lang w:val="hr-BA" w:eastAsia="hr-HR"/>
              </w:rPr>
              <w:t xml:space="preserve"> studentima s invaliditetom, državljanima Bosne i Hercegovine, koji imaju prebivalište na području Federacije Bosne i Hercegovine i koji studiraju na  visokoškolskim ustanovama u Bosni i Hercegovini.</w:t>
            </w:r>
          </w:p>
          <w:p w14:paraId="7A1E96CC" w14:textId="028C1A48" w:rsidR="003A5224" w:rsidRPr="003A5224" w:rsidRDefault="003A5224" w:rsidP="003A522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</w:p>
          <w:p w14:paraId="43765485" w14:textId="7DE11857" w:rsidR="00B71D2F" w:rsidRDefault="00B71D2F" w:rsidP="003A5224"/>
        </w:tc>
      </w:tr>
      <w:tr w:rsidR="008A43F2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Default="00122D47" w:rsidP="00531CAA">
            <w:r>
              <w:t>2</w:t>
            </w:r>
          </w:p>
        </w:tc>
        <w:tc>
          <w:tcPr>
            <w:tcW w:w="3202" w:type="dxa"/>
            <w:vAlign w:val="center"/>
          </w:tcPr>
          <w:p w14:paraId="3DC1635E" w14:textId="23E13ECE" w:rsidR="008A43F2" w:rsidRPr="00102F11" w:rsidRDefault="008A43F2" w:rsidP="00531CAA">
            <w:pPr>
              <w:rPr>
                <w:b/>
                <w:bCs/>
              </w:rPr>
            </w:pPr>
            <w:r w:rsidRPr="00102F11">
              <w:rPr>
                <w:b/>
                <w:bCs/>
              </w:rPr>
              <w:t>Opći i posebni ciljevi Programa, koji je predmet javnog poziva, i prioritet</w:t>
            </w:r>
            <w:r w:rsidR="00072C5F" w:rsidRPr="00102F11">
              <w:rPr>
                <w:b/>
                <w:bCs/>
              </w:rPr>
              <w:t>i</w:t>
            </w:r>
            <w:r w:rsidRPr="00102F11">
              <w:rPr>
                <w:b/>
                <w:bCs/>
              </w:rPr>
              <w:t xml:space="preserve"> sa osnovnim i specifičnim programskim oblastima za dodjelu budžetskih sredstava</w:t>
            </w:r>
          </w:p>
        </w:tc>
        <w:tc>
          <w:tcPr>
            <w:tcW w:w="6390" w:type="dxa"/>
            <w:vAlign w:val="center"/>
          </w:tcPr>
          <w:p w14:paraId="5F02F74A" w14:textId="77777777" w:rsidR="003A5224" w:rsidRDefault="00B71D2F" w:rsidP="003A522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  <w:r>
              <w:t>1. Pruža</w:t>
            </w:r>
            <w:r w:rsidR="003A5224">
              <w:t xml:space="preserve">nje podrške </w:t>
            </w:r>
            <w:r w:rsidR="003A5224" w:rsidRPr="003A5224">
              <w:rPr>
                <w:rFonts w:eastAsia="Times New Roman" w:cstheme="minorHAnsi"/>
                <w:lang w:val="hr-BA" w:eastAsia="hr-HR"/>
              </w:rPr>
              <w:t>školovanju Roma, državljana Bosne i Hercegovine, koji imaju prebivalište na području Federacije Bosne i Hercegovine i koji studiraju na  visokoškolskim ustanovama u Bosni</w:t>
            </w:r>
            <w:r w:rsidR="003A5224">
              <w:rPr>
                <w:rFonts w:eastAsia="Times New Roman" w:cstheme="minorHAnsi"/>
                <w:lang w:val="hr-BA" w:eastAsia="hr-HR"/>
              </w:rPr>
              <w:t xml:space="preserve"> i Hercegovini</w:t>
            </w:r>
          </w:p>
          <w:p w14:paraId="3BAAAC3A" w14:textId="2F13A6A6" w:rsidR="008A43F2" w:rsidRDefault="008A43F2" w:rsidP="00531CAA"/>
          <w:p w14:paraId="181FC9D7" w14:textId="77777777" w:rsidR="003A5224" w:rsidRPr="003A5224" w:rsidRDefault="003A5224" w:rsidP="003A522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  <w:r>
              <w:t xml:space="preserve">2. Pružanje podrške </w:t>
            </w:r>
            <w:r w:rsidRPr="003A5224">
              <w:rPr>
                <w:rFonts w:eastAsia="Times New Roman" w:cstheme="minorHAnsi"/>
                <w:lang w:val="hr-BA" w:eastAsia="hr-HR"/>
              </w:rPr>
              <w:t>studentima s invaliditetom, državljanima Bosne i Hercegovine, koji imaju prebivalište na području Federacije Bosne i Hercegovine i koji studiraju na  visokoškolskim ustanovama u Bosni i Hercegovini.</w:t>
            </w:r>
          </w:p>
          <w:p w14:paraId="18D3C6BD" w14:textId="41E909EA" w:rsidR="00B71D2F" w:rsidRDefault="00B71D2F" w:rsidP="00B71D2F"/>
          <w:p w14:paraId="3F0DED95" w14:textId="640F57DD" w:rsidR="00DD3831" w:rsidRDefault="00DD3831" w:rsidP="00531CAA"/>
        </w:tc>
      </w:tr>
      <w:tr w:rsidR="008A43F2" w14:paraId="0C6F348C" w14:textId="77777777" w:rsidTr="00962FDE">
        <w:trPr>
          <w:trHeight w:val="2675"/>
        </w:trPr>
        <w:tc>
          <w:tcPr>
            <w:tcW w:w="578" w:type="dxa"/>
            <w:vAlign w:val="center"/>
          </w:tcPr>
          <w:p w14:paraId="4B3F18E5" w14:textId="1C57953A" w:rsidR="008A43F2" w:rsidRDefault="00122D47" w:rsidP="00531CAA">
            <w:r>
              <w:t>3</w:t>
            </w:r>
          </w:p>
        </w:tc>
        <w:tc>
          <w:tcPr>
            <w:tcW w:w="3202" w:type="dxa"/>
            <w:vAlign w:val="center"/>
          </w:tcPr>
          <w:p w14:paraId="1007B6B9" w14:textId="4850D5DB" w:rsidR="008A43F2" w:rsidRPr="00102F11" w:rsidRDefault="00072C5F" w:rsidP="00531CAA">
            <w:pPr>
              <w:rPr>
                <w:b/>
                <w:bCs/>
              </w:rPr>
            </w:pPr>
            <w:r w:rsidRPr="00102F11">
              <w:rPr>
                <w:b/>
                <w:bCs/>
              </w:rPr>
              <w:t>U</w:t>
            </w:r>
            <w:r w:rsidR="008A43F2" w:rsidRPr="00102F11">
              <w:rPr>
                <w:b/>
                <w:bCs/>
              </w:rPr>
              <w:t>kupn</w:t>
            </w:r>
            <w:r w:rsidRPr="00102F11">
              <w:rPr>
                <w:b/>
                <w:bCs/>
              </w:rPr>
              <w:t>a</w:t>
            </w:r>
            <w:r w:rsidR="008A43F2" w:rsidRPr="00102F11">
              <w:rPr>
                <w:b/>
                <w:bCs/>
              </w:rPr>
              <w:t xml:space="preserve"> vrijednost Programa i iznos</w:t>
            </w:r>
            <w:r w:rsidRPr="00102F11">
              <w:rPr>
                <w:b/>
                <w:bCs/>
              </w:rPr>
              <w:t>i</w:t>
            </w:r>
            <w:r w:rsidR="008A43F2" w:rsidRPr="00102F11">
              <w:rPr>
                <w:b/>
                <w:bCs/>
              </w:rPr>
              <w:t xml:space="preserve"> predviđen</w:t>
            </w:r>
            <w:r w:rsidRPr="00102F11">
              <w:rPr>
                <w:b/>
                <w:bCs/>
              </w:rPr>
              <w:t>i</w:t>
            </w:r>
            <w:r w:rsidR="008A43F2" w:rsidRPr="00102F11">
              <w:rPr>
                <w:b/>
                <w:bCs/>
              </w:rPr>
              <w:t xml:space="preserve"> za pojedine programske oblasti, najniži i najviši finansijski iznos koji može biti dodijeljen za pojedini program ili projekt i po mogućnosti očekivani broj programa ili projekata koji će se finansirati iz Programa, odnosno pojedinih programskih oblasti</w:t>
            </w:r>
          </w:p>
        </w:tc>
        <w:tc>
          <w:tcPr>
            <w:tcW w:w="6390" w:type="dxa"/>
            <w:vAlign w:val="center"/>
          </w:tcPr>
          <w:p w14:paraId="7D28BCC0" w14:textId="6519ED76" w:rsidR="00722A74" w:rsidRDefault="00B71D2F" w:rsidP="00722A74">
            <w:pPr>
              <w:pStyle w:val="ListParagraph"/>
            </w:pPr>
            <w:r>
              <w:t>-</w:t>
            </w:r>
          </w:p>
          <w:p w14:paraId="12F998FF" w14:textId="10123174" w:rsidR="00722A74" w:rsidRDefault="00722A74" w:rsidP="00DD3831">
            <w:pPr>
              <w:pStyle w:val="ListParagraph"/>
            </w:pPr>
          </w:p>
        </w:tc>
      </w:tr>
      <w:tr w:rsidR="008A43F2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Default="00122D47" w:rsidP="00531CAA">
            <w:r>
              <w:t>4</w:t>
            </w:r>
          </w:p>
        </w:tc>
        <w:tc>
          <w:tcPr>
            <w:tcW w:w="3202" w:type="dxa"/>
            <w:vAlign w:val="center"/>
          </w:tcPr>
          <w:p w14:paraId="0C3BA00D" w14:textId="28D92949" w:rsidR="008A43F2" w:rsidRPr="00102F11" w:rsidRDefault="00AF1841" w:rsidP="00531CAA">
            <w:pPr>
              <w:rPr>
                <w:b/>
                <w:bCs/>
              </w:rPr>
            </w:pPr>
            <w:r w:rsidRPr="00102F11">
              <w:rPr>
                <w:b/>
                <w:bCs/>
              </w:rPr>
              <w:t>P</w:t>
            </w:r>
            <w:r w:rsidR="008A43F2" w:rsidRPr="00102F11">
              <w:rPr>
                <w:b/>
                <w:bCs/>
              </w:rPr>
              <w:t>otencijaln</w:t>
            </w:r>
            <w:r w:rsidRPr="00102F11">
              <w:rPr>
                <w:b/>
                <w:bCs/>
              </w:rPr>
              <w:t>i</w:t>
            </w:r>
            <w:r w:rsidR="008A43F2" w:rsidRPr="00102F11">
              <w:rPr>
                <w:b/>
                <w:bCs/>
              </w:rPr>
              <w:t xml:space="preserve"> podnosioc</w:t>
            </w:r>
            <w:r w:rsidRPr="00102F11">
              <w:rPr>
                <w:b/>
                <w:bCs/>
              </w:rPr>
              <w:t>i</w:t>
            </w:r>
            <w:r w:rsidR="008A43F2" w:rsidRPr="00102F11">
              <w:rPr>
                <w:b/>
                <w:bCs/>
              </w:rPr>
              <w:t xml:space="preserve"> prijava (ciljn</w:t>
            </w:r>
            <w:r w:rsidRPr="00102F11">
              <w:rPr>
                <w:b/>
                <w:bCs/>
              </w:rPr>
              <w:t>a</w:t>
            </w:r>
            <w:r w:rsidR="008A43F2" w:rsidRPr="00102F11">
              <w:rPr>
                <w:b/>
                <w:bCs/>
              </w:rPr>
              <w:t xml:space="preserve"> grup</w:t>
            </w:r>
            <w:r w:rsidRPr="00102F11">
              <w:rPr>
                <w:b/>
                <w:bCs/>
              </w:rPr>
              <w:t>a</w:t>
            </w:r>
            <w:r w:rsidR="008A43F2" w:rsidRPr="00102F11">
              <w:rPr>
                <w:b/>
                <w:bCs/>
              </w:rPr>
              <w:t>) koji imaju pravo da podnesu prijavu</w:t>
            </w:r>
          </w:p>
        </w:tc>
        <w:tc>
          <w:tcPr>
            <w:tcW w:w="6390" w:type="dxa"/>
            <w:vAlign w:val="center"/>
          </w:tcPr>
          <w:p w14:paraId="01419BDA" w14:textId="122A46BA" w:rsidR="00A51A77" w:rsidRDefault="00A51A77" w:rsidP="00A51A77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962FDE">
              <w:rPr>
                <w:u w:val="single"/>
              </w:rPr>
              <w:t xml:space="preserve">Program 1: </w:t>
            </w:r>
          </w:p>
          <w:p w14:paraId="04C5559F" w14:textId="58701E96" w:rsidR="00D731E1" w:rsidRDefault="00D731E1" w:rsidP="00D731E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  <w:r>
              <w:t xml:space="preserve">Studenti Romske nacionalnosti </w:t>
            </w:r>
            <w:r>
              <w:rPr>
                <w:rFonts w:eastAsia="Times New Roman" w:cstheme="minorHAnsi"/>
                <w:lang w:val="hr-BA" w:eastAsia="hr-HR"/>
              </w:rPr>
              <w:t>državljani</w:t>
            </w:r>
            <w:r w:rsidRPr="003A5224">
              <w:rPr>
                <w:rFonts w:eastAsia="Times New Roman" w:cstheme="minorHAnsi"/>
                <w:lang w:val="hr-BA" w:eastAsia="hr-HR"/>
              </w:rPr>
              <w:t xml:space="preserve"> Bosne i Hercegovine, koji imaju prebivalište na području Federacije Bosne i Hercegovine i koji studiraju na  visokoškolskim ustanovama u Bosni</w:t>
            </w:r>
            <w:r>
              <w:rPr>
                <w:rFonts w:eastAsia="Times New Roman" w:cstheme="minorHAnsi"/>
                <w:lang w:val="hr-BA" w:eastAsia="hr-HR"/>
              </w:rPr>
              <w:t xml:space="preserve"> i Hercegovini</w:t>
            </w:r>
          </w:p>
          <w:p w14:paraId="7AE8040A" w14:textId="56E75C1B" w:rsidR="00B71D2F" w:rsidRPr="00B71D2F" w:rsidRDefault="00B71D2F" w:rsidP="00B71D2F">
            <w:pPr>
              <w:ind w:left="360"/>
            </w:pPr>
          </w:p>
          <w:p w14:paraId="47D288D6" w14:textId="01E02E50" w:rsidR="00A51A77" w:rsidRDefault="00A51A77" w:rsidP="00A51A77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t xml:space="preserve">Program 2: </w:t>
            </w:r>
          </w:p>
          <w:p w14:paraId="739B0C6F" w14:textId="2643E809" w:rsidR="00D731E1" w:rsidRPr="003A5224" w:rsidRDefault="00D731E1" w:rsidP="00D731E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val="hr-BA" w:eastAsia="hr-HR"/>
              </w:rPr>
            </w:pPr>
            <w:r>
              <w:t xml:space="preserve">Studenti </w:t>
            </w:r>
            <w:r w:rsidRPr="003A5224">
              <w:rPr>
                <w:rFonts w:eastAsia="Times New Roman" w:cstheme="minorHAnsi"/>
                <w:lang w:val="hr-BA" w:eastAsia="hr-HR"/>
              </w:rPr>
              <w:t>s</w:t>
            </w:r>
            <w:r>
              <w:rPr>
                <w:rFonts w:eastAsia="Times New Roman" w:cstheme="minorHAnsi"/>
                <w:lang w:val="hr-BA" w:eastAsia="hr-HR"/>
              </w:rPr>
              <w:t xml:space="preserve"> invaliditetom, državljani</w:t>
            </w:r>
            <w:r w:rsidRPr="003A5224">
              <w:rPr>
                <w:rFonts w:eastAsia="Times New Roman" w:cstheme="minorHAnsi"/>
                <w:lang w:val="hr-BA" w:eastAsia="hr-HR"/>
              </w:rPr>
              <w:t xml:space="preserve"> Bosne i Hercegovine, koji imaju prebivalište na području Federacije Bosne i Hercegovine i koji studiraju na  visokoškolskim ustanovama u Bosni i Hercegovini.</w:t>
            </w:r>
          </w:p>
          <w:p w14:paraId="105D7527" w14:textId="0F7416CA" w:rsidR="00B71D2F" w:rsidRPr="00B71D2F" w:rsidRDefault="00B71D2F" w:rsidP="00D731E1"/>
          <w:p w14:paraId="6677C825" w14:textId="203F728E" w:rsidR="008A43F2" w:rsidRPr="00A51A77" w:rsidRDefault="00A51A77" w:rsidP="00A51A77">
            <w:pPr>
              <w:pStyle w:val="ListParagraph"/>
              <w:ind w:left="750"/>
              <w:rPr>
                <w:u w:val="single"/>
              </w:rPr>
            </w:pPr>
            <w:r w:rsidRPr="00A51A77">
              <w:t xml:space="preserve"> </w:t>
            </w:r>
          </w:p>
        </w:tc>
      </w:tr>
      <w:tr w:rsidR="0041582C" w:rsidRPr="0041582C" w14:paraId="30A94F1E" w14:textId="77777777" w:rsidTr="00962FDE">
        <w:trPr>
          <w:trHeight w:val="1659"/>
        </w:trPr>
        <w:tc>
          <w:tcPr>
            <w:tcW w:w="578" w:type="dxa"/>
            <w:vAlign w:val="center"/>
          </w:tcPr>
          <w:p w14:paraId="16A1FF33" w14:textId="0F280968" w:rsidR="008A43F2" w:rsidRDefault="00122D47" w:rsidP="00531CAA">
            <w:r>
              <w:lastRenderedPageBreak/>
              <w:t>10</w:t>
            </w:r>
          </w:p>
        </w:tc>
        <w:tc>
          <w:tcPr>
            <w:tcW w:w="3202" w:type="dxa"/>
            <w:vAlign w:val="center"/>
          </w:tcPr>
          <w:p w14:paraId="17FA8FC2" w14:textId="7682C720" w:rsidR="008A43F2" w:rsidRPr="006D08AB" w:rsidRDefault="00AF1841" w:rsidP="00531CAA">
            <w:pPr>
              <w:rPr>
                <w:bCs/>
                <w:color w:val="FF0000"/>
              </w:rPr>
            </w:pPr>
            <w:r w:rsidRPr="006D08AB">
              <w:rPr>
                <w:bCs/>
                <w:color w:val="000000" w:themeColor="text1"/>
              </w:rPr>
              <w:t>O</w:t>
            </w:r>
            <w:r w:rsidR="008A43F2" w:rsidRPr="006D08AB">
              <w:rPr>
                <w:bCs/>
                <w:color w:val="000000" w:themeColor="text1"/>
              </w:rPr>
              <w:t>pis postupka administrativne provjere (selekcije) prijave (uslovi koje podnosioci prijave trebaju zadovoljavati kako bi mogli konkurisati za dodjelu budžetskih sredstava)</w:t>
            </w:r>
          </w:p>
        </w:tc>
        <w:tc>
          <w:tcPr>
            <w:tcW w:w="6390" w:type="dxa"/>
            <w:vAlign w:val="center"/>
          </w:tcPr>
          <w:p w14:paraId="760CB237" w14:textId="601DE1F6" w:rsidR="00D42A8A" w:rsidRPr="006D08AB" w:rsidRDefault="00D42A8A" w:rsidP="00D42A8A">
            <w:pPr>
              <w:tabs>
                <w:tab w:val="left" w:pos="393"/>
              </w:tabs>
              <w:overflowPunct w:val="0"/>
              <w:autoSpaceDE w:val="0"/>
              <w:autoSpaceDN w:val="0"/>
              <w:adjustRightInd w:val="0"/>
              <w:ind w:left="33"/>
              <w:jc w:val="both"/>
              <w:rPr>
                <w:rFonts w:ascii="Calibri" w:eastAsia="Times New Roman" w:hAnsi="Calibri" w:cs="Calibri"/>
                <w:noProof/>
                <w:lang w:val="hr-BA" w:eastAsia="hr-HR"/>
              </w:rPr>
            </w:pPr>
            <w:r>
              <w:rPr>
                <w:color w:val="FF0000"/>
              </w:rPr>
              <w:t>-</w:t>
            </w:r>
            <w:r w:rsidRPr="006D08AB">
              <w:rPr>
                <w:rFonts w:ascii="Calibri" w:eastAsia="Times New Roman" w:hAnsi="Calibri" w:cs="Calibri"/>
                <w:noProof/>
                <w:lang w:val="hr-BA" w:eastAsia="hr-HR"/>
              </w:rPr>
              <w:t xml:space="preserve"> Podrška će se dodijeliti samo onim podnosiocima prijave koji zadovoljavaju kriterije i o tome dostave odgovarajuće dokaze.</w:t>
            </w:r>
          </w:p>
          <w:p w14:paraId="04E13E19" w14:textId="27294A1B" w:rsidR="000545E2" w:rsidRPr="006D08AB" w:rsidRDefault="000545E2" w:rsidP="006D08AB">
            <w:pPr>
              <w:rPr>
                <w:color w:val="FF0000"/>
              </w:rPr>
            </w:pPr>
          </w:p>
          <w:p w14:paraId="4EBAC630" w14:textId="2BC530E5" w:rsidR="000545E2" w:rsidRPr="006D08AB" w:rsidRDefault="000545E2" w:rsidP="000545E2">
            <w:pPr>
              <w:pStyle w:val="ListParagraph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 w:rsidRPr="006D08AB">
              <w:rPr>
                <w:color w:val="000000" w:themeColor="text1"/>
                <w:lang w:val="hr-HR"/>
              </w:rPr>
              <w:t>Ukoliko se prilikom selekcije utvrdi formalni nedostatak u smislu dostavljanja nepotpisane ili neovjerene dokumentacije (obrazaca ili pratećih dokumenata za dokazivanje određenih činjenica traženih javnim pozivom), Ministarstvo će pozvati aplikanta da utvrđeni nedostatak otkloni u roku od 8 dana.</w:t>
            </w:r>
          </w:p>
          <w:p w14:paraId="0269D1FC" w14:textId="2F20A14B" w:rsidR="006567C9" w:rsidRPr="006D08AB" w:rsidRDefault="006567C9" w:rsidP="006D08AB">
            <w:pPr>
              <w:rPr>
                <w:color w:val="FF0000"/>
              </w:rPr>
            </w:pPr>
          </w:p>
        </w:tc>
      </w:tr>
      <w:tr w:rsidR="0041582C" w:rsidRPr="0041582C" w14:paraId="5EC739E9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6A4D0FEF" w14:textId="523BF7AD" w:rsidR="008A43F2" w:rsidRDefault="00122D47" w:rsidP="00531CAA">
            <w:r>
              <w:t>11</w:t>
            </w:r>
          </w:p>
        </w:tc>
        <w:tc>
          <w:tcPr>
            <w:tcW w:w="3202" w:type="dxa"/>
            <w:vAlign w:val="center"/>
          </w:tcPr>
          <w:p w14:paraId="43D9EF71" w14:textId="259B4925" w:rsidR="008A43F2" w:rsidRPr="006D08AB" w:rsidRDefault="00AF1841" w:rsidP="00531CAA">
            <w:pPr>
              <w:rPr>
                <w:bCs/>
                <w:color w:val="FF0000"/>
              </w:rPr>
            </w:pPr>
            <w:r w:rsidRPr="006D08AB">
              <w:rPr>
                <w:bCs/>
                <w:color w:val="000000" w:themeColor="text1"/>
              </w:rPr>
              <w:t>O</w:t>
            </w:r>
            <w:r w:rsidR="008A43F2" w:rsidRPr="006D08AB">
              <w:rPr>
                <w:bCs/>
                <w:color w:val="000000" w:themeColor="text1"/>
              </w:rPr>
              <w:t>pis postupka odabira programa i projekata koji će biti finansirani</w:t>
            </w:r>
          </w:p>
        </w:tc>
        <w:tc>
          <w:tcPr>
            <w:tcW w:w="6390" w:type="dxa"/>
            <w:vAlign w:val="center"/>
          </w:tcPr>
          <w:p w14:paraId="748131DE" w14:textId="431817B3" w:rsidR="006D08AB" w:rsidRPr="006D08AB" w:rsidRDefault="006D08AB" w:rsidP="00D42A8A">
            <w:pPr>
              <w:tabs>
                <w:tab w:val="left" w:pos="393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noProof/>
                <w:lang w:val="hr-BA" w:eastAsia="hr-HR"/>
              </w:rPr>
            </w:pPr>
          </w:p>
          <w:p w14:paraId="1B630378" w14:textId="6A7495E8" w:rsidR="006D08AB" w:rsidRPr="006D08AB" w:rsidRDefault="006D08AB" w:rsidP="006D08AB">
            <w:pPr>
              <w:tabs>
                <w:tab w:val="left" w:pos="393"/>
              </w:tabs>
              <w:overflowPunct w:val="0"/>
              <w:autoSpaceDE w:val="0"/>
              <w:autoSpaceDN w:val="0"/>
              <w:adjustRightInd w:val="0"/>
              <w:ind w:left="33"/>
              <w:jc w:val="both"/>
              <w:rPr>
                <w:rFonts w:ascii="Calibri" w:eastAsia="Times New Roman" w:hAnsi="Calibri" w:cs="Calibri"/>
                <w:noProof/>
                <w:lang w:val="hr-BA" w:eastAsia="hr-HR"/>
              </w:rPr>
            </w:pPr>
            <w:r w:rsidRPr="006D08AB">
              <w:rPr>
                <w:rFonts w:ascii="Calibri" w:eastAsia="Times New Roman" w:hAnsi="Calibri" w:cs="Calibri"/>
                <w:lang w:val="hr-BA" w:eastAsia="bs-Latn-BA"/>
              </w:rPr>
              <w:t>Federalno ministarstvo obrazovanja i nauke podršku dodjeljuje u jedno</w:t>
            </w:r>
            <w:r w:rsidR="00A06172">
              <w:rPr>
                <w:rFonts w:ascii="Calibri" w:eastAsia="Times New Roman" w:hAnsi="Calibri" w:cs="Calibri"/>
                <w:lang w:val="hr-BA" w:eastAsia="bs-Latn-BA"/>
              </w:rPr>
              <w:t>kratnom godišnjem iznosu za 2025</w:t>
            </w:r>
            <w:r w:rsidRPr="006D08AB">
              <w:rPr>
                <w:rFonts w:ascii="Calibri" w:eastAsia="Times New Roman" w:hAnsi="Calibri" w:cs="Calibri"/>
                <w:lang w:val="hr-BA" w:eastAsia="bs-Latn-BA"/>
              </w:rPr>
              <w:t>. godinu, a u skladu sa raspoloživim sredstvima Federalnog ministarstva obrazovanja i nauke.</w:t>
            </w:r>
            <w:r w:rsidRPr="006D08AB">
              <w:rPr>
                <w:rFonts w:ascii="Calibri" w:eastAsia="Times New Roman" w:hAnsi="Calibri" w:cs="Calibri"/>
                <w:noProof/>
                <w:lang w:val="hr-BA" w:eastAsia="hr-HR"/>
              </w:rPr>
              <w:t xml:space="preserve"> Sredstva za program će se nakon provedenog javnog poziva, dodjeljivati odlukom federalne ministrice obrazovanja i nauke na prijedlog Sektora za visoko </w:t>
            </w:r>
            <w:r w:rsidR="00A06172">
              <w:rPr>
                <w:rFonts w:ascii="Calibri" w:eastAsia="Times New Roman" w:hAnsi="Calibri" w:cs="Calibri"/>
                <w:noProof/>
                <w:lang w:val="hr-BA" w:eastAsia="hr-HR"/>
              </w:rPr>
              <w:t>obrazovanje.</w:t>
            </w:r>
          </w:p>
          <w:p w14:paraId="1AC3A615" w14:textId="4E118298" w:rsidR="008A43F2" w:rsidRPr="006D08AB" w:rsidRDefault="006D08AB" w:rsidP="006D08AB">
            <w:pPr>
              <w:rPr>
                <w:color w:val="FF0000"/>
              </w:rPr>
            </w:pPr>
            <w:r w:rsidRPr="006D08AB">
              <w:rPr>
                <w:rFonts w:ascii="Calibri" w:eastAsia="Times New Roman" w:hAnsi="Calibri" w:cs="Calibri"/>
                <w:lang w:val="hr-BA" w:eastAsia="bs-Latn-BA"/>
              </w:rPr>
              <w:t xml:space="preserve"> Odobrena sredstva uplatit će se direktno na račun podnosioca pozitivno riješene</w:t>
            </w:r>
            <w:r>
              <w:rPr>
                <w:rFonts w:ascii="Calibri" w:eastAsia="Times New Roman" w:hAnsi="Calibri" w:cs="Calibri"/>
                <w:lang w:val="hr-BA" w:eastAsia="bs-Latn-BA"/>
              </w:rPr>
              <w:t xml:space="preserve"> prijave.</w:t>
            </w:r>
          </w:p>
        </w:tc>
      </w:tr>
      <w:tr w:rsidR="0041582C" w:rsidRPr="0041582C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58F17008" w:rsidR="008A43F2" w:rsidRDefault="00122D47" w:rsidP="00531CAA">
            <w:r>
              <w:t>12</w:t>
            </w:r>
          </w:p>
        </w:tc>
        <w:tc>
          <w:tcPr>
            <w:tcW w:w="3202" w:type="dxa"/>
            <w:vAlign w:val="center"/>
          </w:tcPr>
          <w:p w14:paraId="01B1BA07" w14:textId="77146B56" w:rsidR="008A43F2" w:rsidRPr="006D08AB" w:rsidRDefault="00AF1841" w:rsidP="00531CAA">
            <w:pPr>
              <w:rPr>
                <w:bCs/>
              </w:rPr>
            </w:pPr>
            <w:r w:rsidRPr="006D08AB">
              <w:rPr>
                <w:bCs/>
              </w:rPr>
              <w:t>R</w:t>
            </w:r>
            <w:r w:rsidR="008A43F2" w:rsidRPr="006D08AB">
              <w:rPr>
                <w:bCs/>
              </w:rPr>
              <w:t>azlo</w:t>
            </w:r>
            <w:r w:rsidRPr="006D08AB">
              <w:rPr>
                <w:bCs/>
              </w:rPr>
              <w:t>zi</w:t>
            </w:r>
            <w:r w:rsidR="008A43F2" w:rsidRPr="006D08AB">
              <w:rPr>
                <w:bCs/>
              </w:rPr>
              <w:t>, rokov</w:t>
            </w:r>
            <w:r w:rsidRPr="006D08AB">
              <w:rPr>
                <w:bCs/>
              </w:rPr>
              <w:t>i</w:t>
            </w:r>
            <w:r w:rsidR="008A43F2" w:rsidRPr="006D08AB">
              <w:rPr>
                <w:bCs/>
              </w:rPr>
              <w:t xml:space="preserve"> i način podnošenja i rješavanja prigovora</w:t>
            </w:r>
          </w:p>
        </w:tc>
        <w:tc>
          <w:tcPr>
            <w:tcW w:w="6390" w:type="dxa"/>
            <w:vAlign w:val="center"/>
          </w:tcPr>
          <w:p w14:paraId="3393C6AD" w14:textId="359BA478" w:rsidR="009B6EE9" w:rsidRPr="006D08AB" w:rsidRDefault="009B6EE9" w:rsidP="009B6EE9">
            <w:r w:rsidRPr="006D08AB">
              <w:t>Prigovo</w:t>
            </w:r>
            <w:r w:rsidR="006D08AB" w:rsidRPr="006D08AB">
              <w:t>ri</w:t>
            </w:r>
            <w:r w:rsidRPr="006D08AB">
              <w:t xml:space="preserve"> se mogu uložiti u roku od osam dana od dana objave na web stranici Ministarstva.</w:t>
            </w:r>
          </w:p>
          <w:p w14:paraId="1A3A425D" w14:textId="155A0B74" w:rsidR="009B6EE9" w:rsidRPr="006D08AB" w:rsidRDefault="009B6EE9" w:rsidP="006D08AB">
            <w:pPr>
              <w:tabs>
                <w:tab w:val="left" w:pos="393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noProof/>
                <w:lang w:val="hr-BA" w:eastAsia="hr-HR"/>
              </w:rPr>
            </w:pPr>
          </w:p>
        </w:tc>
      </w:tr>
      <w:tr w:rsidR="0041582C" w:rsidRPr="0041582C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2B46D1CF" w:rsidR="008A43F2" w:rsidRDefault="00122D47" w:rsidP="00531CAA">
            <w:r>
              <w:t>13</w:t>
            </w:r>
          </w:p>
        </w:tc>
        <w:tc>
          <w:tcPr>
            <w:tcW w:w="3202" w:type="dxa"/>
            <w:vAlign w:val="center"/>
          </w:tcPr>
          <w:p w14:paraId="11327019" w14:textId="31189593" w:rsidR="008A43F2" w:rsidRPr="00D42A8A" w:rsidRDefault="00AF1841" w:rsidP="00531CAA">
            <w:pPr>
              <w:rPr>
                <w:bCs/>
                <w:color w:val="FF0000"/>
              </w:rPr>
            </w:pPr>
            <w:r w:rsidRPr="00D42A8A">
              <w:rPr>
                <w:bCs/>
              </w:rPr>
              <w:t>O</w:t>
            </w:r>
            <w:r w:rsidR="008A43F2" w:rsidRPr="00D42A8A">
              <w:rPr>
                <w:bCs/>
              </w:rPr>
              <w:t xml:space="preserve">pis postupka </w:t>
            </w:r>
            <w:r w:rsidR="00D42A8A" w:rsidRPr="00D42A8A">
              <w:rPr>
                <w:bCs/>
              </w:rPr>
              <w:t>dodjele sredstava</w:t>
            </w:r>
          </w:p>
        </w:tc>
        <w:tc>
          <w:tcPr>
            <w:tcW w:w="6390" w:type="dxa"/>
            <w:vAlign w:val="center"/>
          </w:tcPr>
          <w:p w14:paraId="6FF57A4E" w14:textId="00BDCFC6" w:rsidR="006D08AB" w:rsidRPr="006D08AB" w:rsidRDefault="006D08AB" w:rsidP="006D08AB">
            <w:pPr>
              <w:tabs>
                <w:tab w:val="left" w:pos="393"/>
              </w:tabs>
              <w:overflowPunct w:val="0"/>
              <w:autoSpaceDE w:val="0"/>
              <w:autoSpaceDN w:val="0"/>
              <w:adjustRightInd w:val="0"/>
              <w:ind w:left="33"/>
              <w:jc w:val="both"/>
              <w:rPr>
                <w:rFonts w:ascii="Calibri" w:eastAsia="Times New Roman" w:hAnsi="Calibri" w:cs="Calibri"/>
                <w:noProof/>
                <w:lang w:val="hr-BA" w:eastAsia="hr-HR"/>
              </w:rPr>
            </w:pPr>
            <w:r w:rsidRPr="006D08AB">
              <w:rPr>
                <w:rFonts w:ascii="Calibri" w:eastAsia="Times New Roman" w:hAnsi="Calibri" w:cs="Calibri"/>
                <w:noProof/>
                <w:lang w:val="hr-BA" w:eastAsia="hr-HR"/>
              </w:rPr>
              <w:t xml:space="preserve">Sredstva za program će se nakon provedenog javnog poziva, dodjeljivati odlukom federalne ministrice obrazovanja i nauke na prijedlog Sektora za visoko </w:t>
            </w:r>
            <w:r w:rsidR="00D942EC">
              <w:rPr>
                <w:rFonts w:ascii="Calibri" w:eastAsia="Times New Roman" w:hAnsi="Calibri" w:cs="Calibri"/>
                <w:noProof/>
                <w:lang w:val="hr-BA" w:eastAsia="hr-HR"/>
              </w:rPr>
              <w:t>obrazovanje.</w:t>
            </w:r>
          </w:p>
          <w:p w14:paraId="57031E70" w14:textId="3761FF2B" w:rsidR="008A43F2" w:rsidRPr="0041582C" w:rsidRDefault="006D08AB" w:rsidP="006D08AB">
            <w:pPr>
              <w:rPr>
                <w:color w:val="FF0000"/>
              </w:rPr>
            </w:pPr>
            <w:r w:rsidRPr="006D08AB">
              <w:rPr>
                <w:rFonts w:ascii="Calibri" w:eastAsia="Times New Roman" w:hAnsi="Calibri" w:cs="Calibri"/>
                <w:lang w:val="hr-BA" w:eastAsia="bs-Latn-BA"/>
              </w:rPr>
              <w:t xml:space="preserve"> Odobrena sredstva uplatit će se direktno na račun podnosioca pozitivno riješene</w:t>
            </w:r>
            <w:r>
              <w:rPr>
                <w:rFonts w:ascii="Calibri" w:eastAsia="Times New Roman" w:hAnsi="Calibri" w:cs="Calibri"/>
                <w:lang w:val="hr-BA" w:eastAsia="bs-Latn-BA"/>
              </w:rPr>
              <w:t xml:space="preserve"> prijave.</w:t>
            </w:r>
          </w:p>
        </w:tc>
      </w:tr>
      <w:tr w:rsidR="0041582C" w:rsidRPr="0041582C" w14:paraId="2A5E4DB1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2FE08E9" w14:textId="08E0B2B1" w:rsidR="008A43F2" w:rsidRDefault="00122D47" w:rsidP="00531CAA">
            <w:r>
              <w:t>15</w:t>
            </w:r>
          </w:p>
        </w:tc>
        <w:tc>
          <w:tcPr>
            <w:tcW w:w="3202" w:type="dxa"/>
            <w:vAlign w:val="center"/>
          </w:tcPr>
          <w:p w14:paraId="67B2E184" w14:textId="42F10E85" w:rsidR="008A43F2" w:rsidRPr="00D42A8A" w:rsidRDefault="00AF1841" w:rsidP="00531CAA">
            <w:pPr>
              <w:rPr>
                <w:bCs/>
                <w:color w:val="FF0000"/>
              </w:rPr>
            </w:pPr>
            <w:r w:rsidRPr="00D42A8A">
              <w:rPr>
                <w:bCs/>
              </w:rPr>
              <w:t>O</w:t>
            </w:r>
            <w:r w:rsidR="008A43F2" w:rsidRPr="00D42A8A">
              <w:rPr>
                <w:bCs/>
              </w:rPr>
              <w:t>kvirni ka</w:t>
            </w:r>
            <w:r w:rsidR="00D42A8A" w:rsidRPr="00D42A8A">
              <w:rPr>
                <w:bCs/>
              </w:rPr>
              <w:t>lendar provođenja isplate</w:t>
            </w:r>
          </w:p>
        </w:tc>
        <w:tc>
          <w:tcPr>
            <w:tcW w:w="6390" w:type="dxa"/>
            <w:vAlign w:val="center"/>
          </w:tcPr>
          <w:p w14:paraId="54826B61" w14:textId="703A44EB" w:rsidR="008A43F2" w:rsidRPr="00D42A8A" w:rsidRDefault="00A22490" w:rsidP="00531CAA">
            <w:pPr>
              <w:rPr>
                <w:color w:val="FF0000"/>
              </w:rPr>
            </w:pPr>
            <w:r w:rsidRPr="0041582C">
              <w:rPr>
                <w:color w:val="FF0000"/>
              </w:rPr>
              <w:t xml:space="preserve"> </w:t>
            </w:r>
            <w:r w:rsidR="00D42A8A">
              <w:rPr>
                <w:color w:val="FF0000"/>
              </w:rPr>
              <w:t xml:space="preserve"> </w:t>
            </w:r>
            <w:r w:rsidR="00D942EC">
              <w:t>01.12-31.12.2025</w:t>
            </w:r>
            <w:r w:rsidR="0064283C">
              <w:t xml:space="preserve"> godine</w:t>
            </w:r>
          </w:p>
        </w:tc>
      </w:tr>
      <w:tr w:rsidR="008A43F2" w14:paraId="22A85405" w14:textId="77777777" w:rsidTr="00962FDE">
        <w:trPr>
          <w:trHeight w:val="2331"/>
        </w:trPr>
        <w:tc>
          <w:tcPr>
            <w:tcW w:w="578" w:type="dxa"/>
            <w:vAlign w:val="center"/>
          </w:tcPr>
          <w:p w14:paraId="7ED756E3" w14:textId="77315E61" w:rsidR="008A43F2" w:rsidRDefault="00122D47" w:rsidP="00531CAA">
            <w:r>
              <w:t>16</w:t>
            </w:r>
          </w:p>
        </w:tc>
        <w:tc>
          <w:tcPr>
            <w:tcW w:w="3202" w:type="dxa"/>
            <w:vAlign w:val="center"/>
          </w:tcPr>
          <w:p w14:paraId="3354B56C" w14:textId="2BFEA2E0" w:rsidR="008A43F2" w:rsidRPr="00102F11" w:rsidRDefault="00AF1841" w:rsidP="00531CAA">
            <w:pPr>
              <w:rPr>
                <w:b/>
                <w:bCs/>
              </w:rPr>
            </w:pPr>
            <w:r w:rsidRPr="00102F11">
              <w:rPr>
                <w:b/>
                <w:bCs/>
              </w:rPr>
              <w:t>D</w:t>
            </w:r>
            <w:r w:rsidR="008A43F2" w:rsidRPr="00102F11">
              <w:rPr>
                <w:b/>
                <w:bCs/>
              </w:rPr>
              <w:t>atum objave javnog poziva i rok za podnošenje prijava, adresa i način dostave prijave programa ili projekta, te rokovi i način komunikacije sa davaocem budžetskih sredstava tokom trajanja javnog poziva</w:t>
            </w:r>
          </w:p>
        </w:tc>
        <w:tc>
          <w:tcPr>
            <w:tcW w:w="6390" w:type="dxa"/>
            <w:vAlign w:val="center"/>
          </w:tcPr>
          <w:p w14:paraId="7260ADCB" w14:textId="52374660" w:rsidR="008A43F2" w:rsidRPr="00D42A8A" w:rsidRDefault="003D5024" w:rsidP="00531CAA">
            <w:pPr>
              <w:rPr>
                <w:bCs/>
              </w:rPr>
            </w:pPr>
            <w:r w:rsidRPr="00D42A8A">
              <w:rPr>
                <w:bCs/>
              </w:rPr>
              <w:t xml:space="preserve">Datum objave Javnog poziva: </w:t>
            </w:r>
            <w:r w:rsidR="000341A5">
              <w:rPr>
                <w:bCs/>
              </w:rPr>
              <w:t>08</w:t>
            </w:r>
            <w:r w:rsidR="0041582C" w:rsidRPr="00D42A8A">
              <w:rPr>
                <w:bCs/>
              </w:rPr>
              <w:t>.10</w:t>
            </w:r>
            <w:r w:rsidR="00463283" w:rsidRPr="00D42A8A">
              <w:rPr>
                <w:bCs/>
              </w:rPr>
              <w:t>.</w:t>
            </w:r>
            <w:r w:rsidR="000341A5">
              <w:rPr>
                <w:bCs/>
              </w:rPr>
              <w:t>2025</w:t>
            </w:r>
            <w:r w:rsidRPr="00D42A8A">
              <w:rPr>
                <w:bCs/>
              </w:rPr>
              <w:t>. godine</w:t>
            </w:r>
          </w:p>
          <w:p w14:paraId="45819F89" w14:textId="77777777" w:rsidR="003D5024" w:rsidRPr="00D42A8A" w:rsidRDefault="003D5024" w:rsidP="00531CAA">
            <w:pPr>
              <w:rPr>
                <w:bCs/>
              </w:rPr>
            </w:pPr>
          </w:p>
          <w:p w14:paraId="6246BF86" w14:textId="03A93ACC" w:rsidR="003D5024" w:rsidRPr="00D42A8A" w:rsidRDefault="003D5024" w:rsidP="00531CAA">
            <w:pPr>
              <w:rPr>
                <w:bCs/>
              </w:rPr>
            </w:pPr>
            <w:r w:rsidRPr="00D42A8A">
              <w:rPr>
                <w:bCs/>
              </w:rPr>
              <w:t xml:space="preserve">Rok za podnošenje prijava: </w:t>
            </w:r>
            <w:r w:rsidR="000341A5">
              <w:rPr>
                <w:rFonts w:cstheme="minorHAnsi"/>
              </w:rPr>
              <w:t>24</w:t>
            </w:r>
            <w:r w:rsidR="0041582C" w:rsidRPr="00D42A8A">
              <w:rPr>
                <w:rFonts w:cstheme="minorHAnsi"/>
              </w:rPr>
              <w:t>.10</w:t>
            </w:r>
            <w:r w:rsidR="000341A5">
              <w:rPr>
                <w:rFonts w:cstheme="minorHAnsi"/>
              </w:rPr>
              <w:t>.2025</w:t>
            </w:r>
            <w:r w:rsidR="00E66AFB" w:rsidRPr="00D42A8A">
              <w:rPr>
                <w:rFonts w:cstheme="minorHAnsi"/>
              </w:rPr>
              <w:t>. godine</w:t>
            </w:r>
          </w:p>
          <w:p w14:paraId="4E46C3B3" w14:textId="77777777" w:rsidR="003D5024" w:rsidRPr="00D42A8A" w:rsidRDefault="003D5024" w:rsidP="003D5024"/>
          <w:p w14:paraId="4FD228C1" w14:textId="67B6DC5B" w:rsidR="003D5024" w:rsidRDefault="003D5024" w:rsidP="003D5024">
            <w:r w:rsidRPr="000843B5">
              <w:rPr>
                <w:b/>
                <w:bCs/>
              </w:rPr>
              <w:t>Adresa:</w:t>
            </w:r>
            <w:r>
              <w:t xml:space="preserve"> FEDERALNO MINISTARSTVO OBRAZOVANJA I NAUKE, Dr. A</w:t>
            </w:r>
            <w:r w:rsidR="005A182A">
              <w:t>nte Starčevića bb,</w:t>
            </w:r>
            <w:bookmarkStart w:id="0" w:name="_GoBack"/>
            <w:bookmarkEnd w:id="0"/>
            <w:r>
              <w:t xml:space="preserve"> 88 000 Mostar</w:t>
            </w:r>
          </w:p>
          <w:p w14:paraId="14ABFC75" w14:textId="77777777" w:rsidR="00AA4E56" w:rsidRPr="00AA4E56" w:rsidRDefault="003D5024" w:rsidP="00AA4E56">
            <w:pPr>
              <w:overflowPunct w:val="0"/>
              <w:autoSpaceDE w:val="0"/>
              <w:autoSpaceDN w:val="0"/>
              <w:adjustRightInd w:val="0"/>
              <w:ind w:right="46"/>
              <w:jc w:val="center"/>
              <w:rPr>
                <w:rFonts w:ascii="Calibri" w:eastAsia="Times New Roman" w:hAnsi="Calibri" w:cs="Calibri"/>
                <w:b/>
                <w:noProof/>
                <w:u w:val="single"/>
                <w:lang w:val="hr-BA" w:eastAsia="hr-HR"/>
              </w:rPr>
            </w:pPr>
            <w:r w:rsidRPr="003D5024">
              <w:t>Sa na</w:t>
            </w:r>
            <w:r w:rsidR="00AA4E56">
              <w:t>pomenom: „</w:t>
            </w:r>
            <w:r w:rsidR="00AA4E56" w:rsidRPr="00AA4E56">
              <w:rPr>
                <w:rFonts w:ascii="Calibri" w:eastAsia="Times New Roman" w:hAnsi="Calibri" w:cs="Calibri"/>
                <w:b/>
                <w:noProof/>
                <w:lang w:val="hr-BA" w:eastAsia="hr-HR"/>
              </w:rPr>
              <w:t>Za Javni poziv iz oblasti proširenog studentskog standarda – ne otvarati“ (navesti broj i naziv programa za koji se aplicira)</w:t>
            </w:r>
          </w:p>
          <w:p w14:paraId="0ECAB49F" w14:textId="22A7A685" w:rsidR="003D5024" w:rsidRPr="00AA4E56" w:rsidRDefault="003D5024" w:rsidP="003D5024">
            <w:pPr>
              <w:rPr>
                <w:rFonts w:ascii="Calibri" w:hAnsi="Calibri" w:cs="Calibri"/>
              </w:rPr>
            </w:pPr>
          </w:p>
          <w:p w14:paraId="762515A9" w14:textId="77777777" w:rsidR="003D5024" w:rsidRDefault="003D5024" w:rsidP="003D5024"/>
          <w:p w14:paraId="7EE1362F" w14:textId="5ACEB4E8" w:rsidR="003D5024" w:rsidRPr="000843B5" w:rsidRDefault="003D5024" w:rsidP="003D5024">
            <w:pPr>
              <w:rPr>
                <w:b/>
                <w:bCs/>
              </w:rPr>
            </w:pPr>
            <w:r w:rsidRPr="000843B5">
              <w:rPr>
                <w:b/>
                <w:bCs/>
              </w:rPr>
              <w:t>Način dostav</w:t>
            </w:r>
            <w:r w:rsidR="00AA4E56">
              <w:rPr>
                <w:b/>
                <w:bCs/>
              </w:rPr>
              <w:t>e prijave:</w:t>
            </w:r>
          </w:p>
          <w:p w14:paraId="54ED77B6" w14:textId="05C501A1" w:rsidR="003D5024" w:rsidRDefault="003D5024" w:rsidP="003D5024">
            <w:r w:rsidRPr="003D5024">
              <w:t>Zahtjev sa kompletnom dokumentacijom obavezno se podnosi</w:t>
            </w:r>
            <w:r w:rsidR="001726F7">
              <w:t xml:space="preserve"> u istoj koverti u 2 odvojena </w:t>
            </w:r>
            <w:r w:rsidRPr="003D5024">
              <w:t xml:space="preserve">primjerka (original i kopija) </w:t>
            </w:r>
            <w:r w:rsidR="001726F7">
              <w:t>na naprijed navedenu adresu.</w:t>
            </w:r>
            <w:r>
              <w:t xml:space="preserve"> </w:t>
            </w:r>
            <w:r w:rsidRPr="003D5024">
              <w:t>Obavezno na koverti navesti podatke pošiljaoca.</w:t>
            </w:r>
          </w:p>
          <w:p w14:paraId="36391457" w14:textId="77777777" w:rsidR="000843B5" w:rsidRDefault="000843B5" w:rsidP="003D5024"/>
          <w:p w14:paraId="3823487B" w14:textId="77777777" w:rsidR="000843B5" w:rsidRPr="000843B5" w:rsidRDefault="000843B5" w:rsidP="003D5024">
            <w:pPr>
              <w:rPr>
                <w:b/>
                <w:bCs/>
              </w:rPr>
            </w:pPr>
            <w:r w:rsidRPr="000843B5">
              <w:rPr>
                <w:b/>
                <w:bCs/>
              </w:rPr>
              <w:t>Rokovi i način komunikacije sa davaocem budžetskih sredstava tokom trajanja javnog poziva:</w:t>
            </w:r>
          </w:p>
          <w:p w14:paraId="14A962CC" w14:textId="60582E41" w:rsidR="000843B5" w:rsidRDefault="000843B5" w:rsidP="003D5024">
            <w:r>
              <w:t xml:space="preserve">Informacije se mogu dobiti </w:t>
            </w:r>
            <w:r w:rsidR="003430D1">
              <w:t xml:space="preserve">u toku trajanja Javnog poziva </w:t>
            </w:r>
            <w:r>
              <w:t xml:space="preserve">svakim radnim danom od 8.00 do 16.00 sati u Sektoru za </w:t>
            </w:r>
            <w:r w:rsidR="001726F7">
              <w:t>visoko obrazovanje</w:t>
            </w:r>
            <w:r>
              <w:t xml:space="preserve"> na brojeve telefona:</w:t>
            </w:r>
          </w:p>
          <w:p w14:paraId="4D796C3F" w14:textId="77777777" w:rsidR="000843B5" w:rsidRDefault="000843B5" w:rsidP="003D5024"/>
          <w:p w14:paraId="53AF58DF" w14:textId="5C5FEE89" w:rsidR="000843B5" w:rsidRPr="000843B5" w:rsidRDefault="000843B5" w:rsidP="000843B5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962FDE">
              <w:rPr>
                <w:u w:val="single"/>
              </w:rPr>
              <w:t xml:space="preserve">Program 1: </w:t>
            </w:r>
            <w:r>
              <w:rPr>
                <w:u w:val="single"/>
              </w:rPr>
              <w:t xml:space="preserve"> </w:t>
            </w:r>
            <w:r>
              <w:t>036/355-</w:t>
            </w:r>
            <w:r w:rsidR="0041582C">
              <w:t>745</w:t>
            </w:r>
          </w:p>
          <w:p w14:paraId="08F13E5A" w14:textId="49B0CD9F" w:rsidR="000843B5" w:rsidRPr="00962FDE" w:rsidRDefault="000843B5" w:rsidP="000843B5">
            <w:pPr>
              <w:pStyle w:val="ListParagraph"/>
              <w:numPr>
                <w:ilvl w:val="0"/>
                <w:numId w:val="2"/>
              </w:numPr>
              <w:ind w:left="750"/>
              <w:rPr>
                <w:u w:val="single"/>
              </w:rPr>
            </w:pPr>
            <w:r w:rsidRPr="00962FDE">
              <w:rPr>
                <w:u w:val="single"/>
              </w:rPr>
              <w:lastRenderedPageBreak/>
              <w:t xml:space="preserve">Program 2: </w:t>
            </w:r>
            <w:r w:rsidRPr="000843B5">
              <w:t>036/355-</w:t>
            </w:r>
            <w:r w:rsidR="0041582C">
              <w:t>745</w:t>
            </w:r>
          </w:p>
          <w:p w14:paraId="53C0B338" w14:textId="3FA39F54" w:rsidR="000843B5" w:rsidRDefault="000843B5" w:rsidP="001726F7">
            <w:pPr>
              <w:pStyle w:val="ListParagraph"/>
              <w:ind w:left="750"/>
            </w:pPr>
          </w:p>
        </w:tc>
      </w:tr>
    </w:tbl>
    <w:p w14:paraId="2EAC1424" w14:textId="77777777" w:rsidR="00531CAA" w:rsidRDefault="00531CAA" w:rsidP="00531CAA"/>
    <w:p w14:paraId="1A8D7821" w14:textId="77777777" w:rsidR="00531CAA" w:rsidRDefault="00531CAA" w:rsidP="00531CAA"/>
    <w:p w14:paraId="404655AB" w14:textId="77777777" w:rsidR="008A43F2" w:rsidRDefault="008A43F2"/>
    <w:sectPr w:rsidR="008A4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572"/>
    <w:multiLevelType w:val="hybridMultilevel"/>
    <w:tmpl w:val="0AFEF454"/>
    <w:lvl w:ilvl="0" w:tplc="3828C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2E18"/>
    <w:multiLevelType w:val="hybridMultilevel"/>
    <w:tmpl w:val="3504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94"/>
    <w:rsid w:val="000341A5"/>
    <w:rsid w:val="000545E2"/>
    <w:rsid w:val="00072C5F"/>
    <w:rsid w:val="000843B5"/>
    <w:rsid w:val="00102F11"/>
    <w:rsid w:val="00105320"/>
    <w:rsid w:val="00122D47"/>
    <w:rsid w:val="001534F8"/>
    <w:rsid w:val="00161610"/>
    <w:rsid w:val="001726F7"/>
    <w:rsid w:val="00180C3E"/>
    <w:rsid w:val="0020599B"/>
    <w:rsid w:val="002B1869"/>
    <w:rsid w:val="003430D1"/>
    <w:rsid w:val="0036621D"/>
    <w:rsid w:val="003A5224"/>
    <w:rsid w:val="003D5024"/>
    <w:rsid w:val="0041582C"/>
    <w:rsid w:val="00456BE5"/>
    <w:rsid w:val="00463283"/>
    <w:rsid w:val="00493BB0"/>
    <w:rsid w:val="00531CAA"/>
    <w:rsid w:val="005A182A"/>
    <w:rsid w:val="005B104E"/>
    <w:rsid w:val="006126FC"/>
    <w:rsid w:val="0064283C"/>
    <w:rsid w:val="0064482B"/>
    <w:rsid w:val="006567C9"/>
    <w:rsid w:val="006D08AB"/>
    <w:rsid w:val="006D6D24"/>
    <w:rsid w:val="00722A74"/>
    <w:rsid w:val="007C2E94"/>
    <w:rsid w:val="007D3850"/>
    <w:rsid w:val="008000F4"/>
    <w:rsid w:val="00810C36"/>
    <w:rsid w:val="00827553"/>
    <w:rsid w:val="00827C93"/>
    <w:rsid w:val="00876785"/>
    <w:rsid w:val="008A43F2"/>
    <w:rsid w:val="008B26D9"/>
    <w:rsid w:val="0090497E"/>
    <w:rsid w:val="00962FDE"/>
    <w:rsid w:val="009B6EE9"/>
    <w:rsid w:val="009D642D"/>
    <w:rsid w:val="00A06172"/>
    <w:rsid w:val="00A22490"/>
    <w:rsid w:val="00A40C84"/>
    <w:rsid w:val="00A51A77"/>
    <w:rsid w:val="00A94DC6"/>
    <w:rsid w:val="00AA4E56"/>
    <w:rsid w:val="00AF1841"/>
    <w:rsid w:val="00B71D2F"/>
    <w:rsid w:val="00C353B4"/>
    <w:rsid w:val="00C93581"/>
    <w:rsid w:val="00CD3D81"/>
    <w:rsid w:val="00D2708F"/>
    <w:rsid w:val="00D42A8A"/>
    <w:rsid w:val="00D731E1"/>
    <w:rsid w:val="00D942EC"/>
    <w:rsid w:val="00DD3831"/>
    <w:rsid w:val="00E36A09"/>
    <w:rsid w:val="00E66AFB"/>
    <w:rsid w:val="00EF6EB2"/>
    <w:rsid w:val="00F11788"/>
    <w:rsid w:val="00F4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Sandra</cp:lastModifiedBy>
  <cp:revision>158</cp:revision>
  <cp:lastPrinted>2024-06-10T13:37:00Z</cp:lastPrinted>
  <dcterms:created xsi:type="dcterms:W3CDTF">2024-06-11T14:38:00Z</dcterms:created>
  <dcterms:modified xsi:type="dcterms:W3CDTF">2025-10-07T11:21:00Z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952b1a90607e700e270f4d8fc762330c6f3f7cd72d5ee651f3a633d527edc575</vt:lpwstr>
  </property>
</Properties>
</file>